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183" w:rsidRPr="003A7183" w:rsidRDefault="003A7183" w:rsidP="003A7183">
      <w:r>
        <w:rPr>
          <w:noProof/>
        </w:rPr>
        <w:drawing>
          <wp:inline distT="0" distB="0" distL="0" distR="0">
            <wp:extent cx="2045368" cy="1383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mark-design (2).png"/>
                    <pic:cNvPicPr/>
                  </pic:nvPicPr>
                  <pic:blipFill>
                    <a:blip r:embed="rId6">
                      <a:extLst>
                        <a:ext uri="{28A0092B-C50C-407E-A947-70E740481C1C}">
                          <a14:useLocalDpi xmlns:a14="http://schemas.microsoft.com/office/drawing/2010/main" val="0"/>
                        </a:ext>
                      </a:extLst>
                    </a:blip>
                    <a:stretch>
                      <a:fillRect/>
                    </a:stretch>
                  </pic:blipFill>
                  <pic:spPr>
                    <a:xfrm>
                      <a:off x="0" y="0"/>
                      <a:ext cx="2064453" cy="1395935"/>
                    </a:xfrm>
                    <a:prstGeom prst="rect">
                      <a:avLst/>
                    </a:prstGeom>
                  </pic:spPr>
                </pic:pic>
              </a:graphicData>
            </a:graphic>
          </wp:inline>
        </w:drawing>
      </w:r>
    </w:p>
    <w:p w:rsidR="007303E3" w:rsidRPr="000D2D48" w:rsidRDefault="009A05D3">
      <w:pPr>
        <w:pStyle w:val="Title"/>
        <w:rPr>
          <w:color w:val="C0504D" w:themeColor="accent2"/>
        </w:rPr>
      </w:pPr>
      <w:r w:rsidRPr="000D2D48">
        <w:rPr>
          <w:color w:val="C0504D" w:themeColor="accent2"/>
        </w:rPr>
        <w:t>Resume</w:t>
      </w:r>
    </w:p>
    <w:p w:rsidR="007303E3" w:rsidRPr="000D2D48" w:rsidRDefault="009A05D3">
      <w:pPr>
        <w:rPr>
          <w:sz w:val="24"/>
          <w:szCs w:val="24"/>
        </w:rPr>
      </w:pPr>
      <w:r w:rsidRPr="000D2D48">
        <w:rPr>
          <w:sz w:val="24"/>
          <w:szCs w:val="24"/>
        </w:rPr>
        <w:t>Business, Legal, Compliance &amp; Risk Management Consulting Firm</w:t>
      </w:r>
    </w:p>
    <w:p w:rsidR="007303E3" w:rsidRPr="000D2D48" w:rsidRDefault="009A05D3">
      <w:pPr>
        <w:rPr>
          <w:sz w:val="24"/>
          <w:szCs w:val="24"/>
        </w:rPr>
      </w:pPr>
      <w:r w:rsidRPr="000D2D48">
        <w:rPr>
          <w:sz w:val="24"/>
          <w:szCs w:val="24"/>
        </w:rPr>
        <w:t xml:space="preserve">📍 </w:t>
      </w:r>
      <w:r w:rsidR="00E636FD" w:rsidRPr="000D2D48">
        <w:rPr>
          <w:sz w:val="24"/>
          <w:szCs w:val="24"/>
        </w:rPr>
        <w:t xml:space="preserve">3014 Dauphine St. Ste. A, PMB 901672 </w:t>
      </w:r>
      <w:r w:rsidRPr="000D2D48">
        <w:rPr>
          <w:sz w:val="24"/>
          <w:szCs w:val="24"/>
        </w:rPr>
        <w:t>New Orleans, Louisiana</w:t>
      </w:r>
      <w:r w:rsidR="00E636FD" w:rsidRPr="000D2D48">
        <w:rPr>
          <w:sz w:val="24"/>
          <w:szCs w:val="24"/>
        </w:rPr>
        <w:t xml:space="preserve"> 70117</w:t>
      </w:r>
      <w:r w:rsidRPr="000D2D48">
        <w:rPr>
          <w:sz w:val="24"/>
          <w:szCs w:val="24"/>
        </w:rPr>
        <w:t xml:space="preserve"> | LLC | Manager-Managed</w:t>
      </w:r>
      <w:r w:rsidRPr="000D2D48">
        <w:rPr>
          <w:sz w:val="24"/>
          <w:szCs w:val="24"/>
        </w:rPr>
        <w:br/>
        <w:t>📧</w:t>
      </w:r>
      <w:r w:rsidR="000C4808" w:rsidRPr="000D2D48">
        <w:rPr>
          <w:sz w:val="24"/>
          <w:szCs w:val="24"/>
        </w:rPr>
        <w:t xml:space="preserve"> prudentqfirm@gmail.com</w:t>
      </w:r>
      <w:r w:rsidRPr="000D2D48">
        <w:rPr>
          <w:sz w:val="24"/>
          <w:szCs w:val="24"/>
        </w:rPr>
        <w:t xml:space="preserve"> | 📞</w:t>
      </w:r>
      <w:r w:rsidR="000C4808" w:rsidRPr="000D2D48">
        <w:rPr>
          <w:sz w:val="24"/>
          <w:szCs w:val="24"/>
        </w:rPr>
        <w:t xml:space="preserve"> 504-390-0823</w:t>
      </w:r>
      <w:r w:rsidRPr="000D2D48">
        <w:rPr>
          <w:sz w:val="24"/>
          <w:szCs w:val="24"/>
        </w:rPr>
        <w:t xml:space="preserve"> | 🌐</w:t>
      </w:r>
      <w:r w:rsidR="000C4808" w:rsidRPr="000D2D48">
        <w:rPr>
          <w:sz w:val="24"/>
          <w:szCs w:val="24"/>
        </w:rPr>
        <w:t xml:space="preserve"> </w:t>
      </w:r>
    </w:p>
    <w:p w:rsidR="007303E3" w:rsidRPr="000D2D48" w:rsidRDefault="009A05D3" w:rsidP="000D2D48">
      <w:pPr>
        <w:pStyle w:val="Heading1"/>
        <w:spacing w:before="0"/>
        <w:rPr>
          <w:color w:val="C0504D" w:themeColor="accent2"/>
        </w:rPr>
      </w:pPr>
      <w:r w:rsidRPr="000D2D48">
        <w:rPr>
          <w:color w:val="C0504D" w:themeColor="accent2"/>
        </w:rPr>
        <w:t>Summary</w:t>
      </w:r>
    </w:p>
    <w:p w:rsidR="007303E3" w:rsidRPr="000D2D48" w:rsidRDefault="009A05D3">
      <w:pPr>
        <w:rPr>
          <w:sz w:val="24"/>
          <w:szCs w:val="24"/>
        </w:rPr>
      </w:pPr>
      <w:r w:rsidRPr="000D2D48">
        <w:rPr>
          <w:sz w:val="24"/>
          <w:szCs w:val="24"/>
        </w:rPr>
        <w:t>Bold, trustworthy, and detail-oriented consulting firm specializing in business advisory, legal &amp; regulatory compliance, and enterprise risk management. Partner to organizations across industries including healthcare, financial services, government, and technology. Known for integrating compliance and risk strategies into daily operations to safeguard continuity and reputation while driving sustainable growth.</w:t>
      </w:r>
    </w:p>
    <w:p w:rsidR="007303E3" w:rsidRPr="000D2D48" w:rsidRDefault="009A05D3" w:rsidP="000D2D48">
      <w:pPr>
        <w:pStyle w:val="Heading1"/>
        <w:spacing w:before="0"/>
        <w:rPr>
          <w:color w:val="C0504D" w:themeColor="accent2"/>
        </w:rPr>
      </w:pPr>
      <w:r w:rsidRPr="000D2D48">
        <w:rPr>
          <w:color w:val="C0504D" w:themeColor="accent2"/>
        </w:rPr>
        <w:t>Core Competencies</w:t>
      </w:r>
      <w:bookmarkStart w:id="0" w:name="_GoBack"/>
      <w:bookmarkEnd w:id="0"/>
    </w:p>
    <w:p w:rsidR="007303E3" w:rsidRPr="000D2D48" w:rsidRDefault="009A05D3">
      <w:pPr>
        <w:rPr>
          <w:sz w:val="24"/>
          <w:szCs w:val="24"/>
        </w:rPr>
      </w:pPr>
      <w:r w:rsidRPr="000D2D48">
        <w:rPr>
          <w:sz w:val="24"/>
          <w:szCs w:val="24"/>
        </w:rPr>
        <w:t xml:space="preserve">• </w:t>
      </w:r>
      <w:r w:rsidR="00D93E89" w:rsidRPr="000D2D48">
        <w:rPr>
          <w:sz w:val="24"/>
          <w:szCs w:val="24"/>
        </w:rPr>
        <w:t>Business Advisory - business formation, strategic p</w:t>
      </w:r>
      <w:r w:rsidRPr="000D2D48">
        <w:rPr>
          <w:sz w:val="24"/>
          <w:szCs w:val="24"/>
        </w:rPr>
        <w:t>lanning</w:t>
      </w:r>
      <w:r w:rsidR="00D93E89" w:rsidRPr="000D2D48">
        <w:rPr>
          <w:sz w:val="24"/>
          <w:szCs w:val="24"/>
        </w:rPr>
        <w:t>, operational efficiency</w:t>
      </w:r>
      <w:r w:rsidR="00D93E89" w:rsidRPr="000D2D48">
        <w:rPr>
          <w:sz w:val="24"/>
          <w:szCs w:val="24"/>
        </w:rPr>
        <w:br/>
        <w:t>• Compliance – regulatory audits, licensing, ESG/CSR compliance</w:t>
      </w:r>
      <w:r w:rsidR="00D93E89" w:rsidRPr="000D2D48">
        <w:rPr>
          <w:sz w:val="24"/>
          <w:szCs w:val="24"/>
        </w:rPr>
        <w:br/>
        <w:t>• Risk Management - crisis response and prevention, cybersecurity, insurance strategy</w:t>
      </w:r>
      <w:r w:rsidRPr="000D2D48">
        <w:rPr>
          <w:sz w:val="24"/>
          <w:szCs w:val="24"/>
        </w:rPr>
        <w:br/>
        <w:t>• Legal Support</w:t>
      </w:r>
      <w:r w:rsidR="00714CD2" w:rsidRPr="000D2D48">
        <w:rPr>
          <w:sz w:val="24"/>
          <w:szCs w:val="24"/>
        </w:rPr>
        <w:t xml:space="preserve"> </w:t>
      </w:r>
      <w:r w:rsidR="00D93E89" w:rsidRPr="000D2D48">
        <w:rPr>
          <w:sz w:val="24"/>
          <w:szCs w:val="24"/>
        </w:rPr>
        <w:t>(non-attorney) - contracts, g</w:t>
      </w:r>
      <w:r w:rsidRPr="000D2D48">
        <w:rPr>
          <w:sz w:val="24"/>
          <w:szCs w:val="24"/>
        </w:rPr>
        <w:t>overn</w:t>
      </w:r>
      <w:r w:rsidR="00D93E89" w:rsidRPr="000D2D48">
        <w:rPr>
          <w:sz w:val="24"/>
          <w:szCs w:val="24"/>
        </w:rPr>
        <w:t>ance, Policies</w:t>
      </w:r>
    </w:p>
    <w:p w:rsidR="007303E3" w:rsidRPr="000D2D48" w:rsidRDefault="009A05D3" w:rsidP="000D2D48">
      <w:pPr>
        <w:pStyle w:val="Heading1"/>
        <w:spacing w:before="0"/>
        <w:rPr>
          <w:color w:val="C0504D" w:themeColor="accent2"/>
        </w:rPr>
      </w:pPr>
      <w:r w:rsidRPr="000D2D48">
        <w:rPr>
          <w:color w:val="C0504D" w:themeColor="accent2"/>
        </w:rPr>
        <w:t>Key Achievements</w:t>
      </w:r>
    </w:p>
    <w:p w:rsidR="007303E3" w:rsidRPr="000D2D48" w:rsidRDefault="009A05D3">
      <w:pPr>
        <w:rPr>
          <w:sz w:val="24"/>
          <w:szCs w:val="24"/>
        </w:rPr>
      </w:pPr>
      <w:r w:rsidRPr="000D2D48">
        <w:rPr>
          <w:sz w:val="24"/>
          <w:szCs w:val="24"/>
        </w:rPr>
        <w:t>• Developed compliance and risk frameworks for financial, healthcare, and government contractors.</w:t>
      </w:r>
      <w:r w:rsidRPr="000D2D48">
        <w:rPr>
          <w:sz w:val="24"/>
          <w:szCs w:val="24"/>
        </w:rPr>
        <w:br/>
        <w:t>• Delivered scalable solutions for startups, SMEs, and large enterprises, reducing compliance costs.</w:t>
      </w:r>
      <w:r w:rsidRPr="000D2D48">
        <w:rPr>
          <w:sz w:val="24"/>
          <w:szCs w:val="24"/>
        </w:rPr>
        <w:br/>
        <w:t>• Positioned as a trusted advisor embedding compliance into growth models.</w:t>
      </w:r>
      <w:r w:rsidRPr="000D2D48">
        <w:rPr>
          <w:sz w:val="24"/>
          <w:szCs w:val="24"/>
        </w:rPr>
        <w:br/>
        <w:t xml:space="preserve">• Leveraged advanced technology for real-time compliance </w:t>
      </w:r>
      <w:r w:rsidR="00D93E89" w:rsidRPr="000D2D48">
        <w:rPr>
          <w:sz w:val="24"/>
          <w:szCs w:val="24"/>
        </w:rPr>
        <w:t>monitoring and risk analytics.</w:t>
      </w:r>
    </w:p>
    <w:p w:rsidR="007303E3" w:rsidRPr="000D2D48" w:rsidRDefault="009A05D3" w:rsidP="000D2D48">
      <w:pPr>
        <w:pStyle w:val="Heading1"/>
        <w:spacing w:before="0"/>
        <w:rPr>
          <w:color w:val="C0504D" w:themeColor="accent2"/>
        </w:rPr>
      </w:pPr>
      <w:r w:rsidRPr="000D2D48">
        <w:rPr>
          <w:color w:val="C0504D" w:themeColor="accent2"/>
        </w:rPr>
        <w:t>Service Offerings</w:t>
      </w:r>
    </w:p>
    <w:p w:rsidR="007303E3" w:rsidRPr="000D2D48" w:rsidRDefault="009A05D3">
      <w:pPr>
        <w:rPr>
          <w:sz w:val="24"/>
          <w:szCs w:val="24"/>
        </w:rPr>
      </w:pPr>
      <w:r w:rsidRPr="000D2D48">
        <w:rPr>
          <w:sz w:val="24"/>
          <w:szCs w:val="24"/>
        </w:rPr>
        <w:t>Business Advisory | Legal Consulting (Non-Attorney) | Compliance Services | Risk Management</w:t>
      </w:r>
      <w:r w:rsidR="00714CD2" w:rsidRPr="000D2D48">
        <w:rPr>
          <w:sz w:val="24"/>
          <w:szCs w:val="24"/>
        </w:rPr>
        <w:t xml:space="preserve"> | Education</w:t>
      </w:r>
    </w:p>
    <w:p w:rsidR="007303E3" w:rsidRPr="000D2D48" w:rsidRDefault="009A05D3" w:rsidP="000D2D48">
      <w:pPr>
        <w:pStyle w:val="Heading1"/>
        <w:spacing w:before="0"/>
        <w:rPr>
          <w:color w:val="C0504D" w:themeColor="accent2"/>
        </w:rPr>
      </w:pPr>
      <w:r w:rsidRPr="000D2D48">
        <w:rPr>
          <w:color w:val="C0504D" w:themeColor="accent2"/>
        </w:rPr>
        <w:t>Target Markets</w:t>
      </w:r>
    </w:p>
    <w:p w:rsidR="007303E3" w:rsidRPr="000D2D48" w:rsidRDefault="009A05D3">
      <w:pPr>
        <w:rPr>
          <w:sz w:val="24"/>
          <w:szCs w:val="24"/>
        </w:rPr>
      </w:pPr>
      <w:r w:rsidRPr="000D2D48">
        <w:rPr>
          <w:sz w:val="24"/>
          <w:szCs w:val="24"/>
        </w:rPr>
        <w:t>Financial Services | Healthcare &amp; Life Sciences | Government Contractors | Technology Companies | SMEs &amp; Startups</w:t>
      </w:r>
    </w:p>
    <w:p w:rsidR="007303E3" w:rsidRPr="000D2D48" w:rsidRDefault="009A05D3" w:rsidP="000D2D48">
      <w:pPr>
        <w:pStyle w:val="Heading1"/>
        <w:spacing w:before="0"/>
        <w:rPr>
          <w:color w:val="C0504D" w:themeColor="accent2"/>
        </w:rPr>
      </w:pPr>
      <w:r w:rsidRPr="000D2D48">
        <w:rPr>
          <w:color w:val="C0504D" w:themeColor="accent2"/>
        </w:rPr>
        <w:t>Competitive Advantages</w:t>
      </w:r>
    </w:p>
    <w:p w:rsidR="007303E3" w:rsidRPr="000D2D48" w:rsidRDefault="009A05D3">
      <w:pPr>
        <w:rPr>
          <w:sz w:val="24"/>
          <w:szCs w:val="24"/>
        </w:rPr>
      </w:pPr>
      <w:r w:rsidRPr="000D2D48">
        <w:rPr>
          <w:sz w:val="24"/>
          <w:szCs w:val="24"/>
        </w:rPr>
        <w:t>• Holistic Approach – integrates business strategy, compliance, and risk</w:t>
      </w:r>
      <w:r w:rsidRPr="000D2D48">
        <w:rPr>
          <w:sz w:val="24"/>
          <w:szCs w:val="24"/>
        </w:rPr>
        <w:br/>
        <w:t>• Technology-Forward – AI-driven analytics and compliance software</w:t>
      </w:r>
      <w:r w:rsidRPr="000D2D48">
        <w:rPr>
          <w:sz w:val="24"/>
          <w:szCs w:val="24"/>
        </w:rPr>
        <w:br/>
        <w:t>• Scalable Solutions – customizable for startups through enterprises</w:t>
      </w:r>
      <w:r w:rsidRPr="000D2D48">
        <w:rPr>
          <w:sz w:val="24"/>
          <w:szCs w:val="24"/>
        </w:rPr>
        <w:br/>
        <w:t>• Trusted Partnerships – works alongside legal counsel, accountants, and risk advisors</w:t>
      </w:r>
      <w:r w:rsidRPr="000D2D48">
        <w:rPr>
          <w:sz w:val="24"/>
          <w:szCs w:val="24"/>
        </w:rPr>
        <w:br/>
        <w:t>• Client-Centric – relationship-driven, transparent, measurable outcomes</w:t>
      </w:r>
    </w:p>
    <w:sectPr w:rsidR="007303E3" w:rsidRPr="000D2D48" w:rsidSect="000D2D48">
      <w:pgSz w:w="12240" w:h="20160" w:code="5"/>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C4808"/>
    <w:rsid w:val="000D2D48"/>
    <w:rsid w:val="0015074B"/>
    <w:rsid w:val="0029639D"/>
    <w:rsid w:val="00326F90"/>
    <w:rsid w:val="003A7183"/>
    <w:rsid w:val="00714CD2"/>
    <w:rsid w:val="007303E3"/>
    <w:rsid w:val="009A05D3"/>
    <w:rsid w:val="00AA1D8D"/>
    <w:rsid w:val="00B47730"/>
    <w:rsid w:val="00C07105"/>
    <w:rsid w:val="00CB0664"/>
    <w:rsid w:val="00D93E89"/>
    <w:rsid w:val="00E636FD"/>
    <w:rsid w:val="00EB49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60DCDB4-836D-405D-A4F5-C9161EE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18303-5016-4D32-A205-12A4D299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Abe Lowe</cp:lastModifiedBy>
  <cp:revision>2</cp:revision>
  <dcterms:created xsi:type="dcterms:W3CDTF">2026-03-27T19:59:00Z</dcterms:created>
  <dcterms:modified xsi:type="dcterms:W3CDTF">2026-03-27T19:59:00Z</dcterms:modified>
  <cp:category/>
</cp:coreProperties>
</file>